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6A3" w:rsidRDefault="007321C7">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226.65pt;margin-top:.3pt;width:265.9pt;height:90.8pt;z-index:251660288;mso-position-horizontal:right;mso-position-horizontal-relative:text;mso-position-vertical:absolute;mso-position-vertical-relative:text" adj="6924" fillcolor="#f06" strokecolor="#c9f">
            <v:fill r:id="rId4" o:title="Tejas" color2="#c0c" type="pattern"/>
            <v:shadow on="t" color="#99f" opacity="52429f" offset="3pt,3pt"/>
            <v:textpath style="font-family:&quot;Impact&quot;;v-text-kern:t" trim="t" fitpath="t" string="San Andrés"/>
            <w10:wrap type="square"/>
          </v:shape>
        </w:pict>
      </w:r>
      <w:r>
        <w:rPr>
          <w:noProof/>
          <w:lang w:eastAsia="es-ES_tradnl"/>
        </w:rPr>
        <w:drawing>
          <wp:anchor distT="0" distB="0" distL="114300" distR="114300" simplePos="0" relativeHeight="251658240" behindDoc="1" locked="0" layoutInCell="1" allowOverlap="1">
            <wp:simplePos x="0" y="0"/>
            <wp:positionH relativeFrom="column">
              <wp:posOffset>-528822</wp:posOffset>
            </wp:positionH>
            <wp:positionV relativeFrom="paragraph">
              <wp:posOffset>-74105</wp:posOffset>
            </wp:positionV>
            <wp:extent cx="2519433" cy="1678674"/>
            <wp:effectExtent l="19050" t="0" r="0" b="0"/>
            <wp:wrapNone/>
            <wp:docPr id="1" name="0 Imagen" descr="84741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741_1.bmp"/>
                    <pic:cNvPicPr/>
                  </pic:nvPicPr>
                  <pic:blipFill>
                    <a:blip r:embed="rId5" cstate="print"/>
                    <a:stretch>
                      <a:fillRect/>
                    </a:stretch>
                  </pic:blipFill>
                  <pic:spPr>
                    <a:xfrm>
                      <a:off x="0" y="0"/>
                      <a:ext cx="2519433" cy="1678674"/>
                    </a:xfrm>
                    <a:prstGeom prst="rect">
                      <a:avLst/>
                    </a:prstGeom>
                    <a:ln>
                      <a:noFill/>
                    </a:ln>
                    <a:effectLst>
                      <a:softEdge rad="112500"/>
                    </a:effectLst>
                  </pic:spPr>
                </pic:pic>
              </a:graphicData>
            </a:graphic>
          </wp:anchor>
        </w:drawing>
      </w:r>
    </w:p>
    <w:p w:rsidR="007321C7" w:rsidRDefault="007321C7"/>
    <w:p w:rsidR="007321C7" w:rsidRDefault="007321C7"/>
    <w:p w:rsidR="007321C7" w:rsidRDefault="007321C7"/>
    <w:p w:rsidR="007321C7" w:rsidRDefault="007321C7"/>
    <w:p w:rsidR="007321C7" w:rsidRDefault="00FF349F">
      <w:r>
        <w:rPr>
          <w:noProof/>
          <w:lang w:eastAsia="es-ES_tradnl"/>
        </w:rPr>
        <w:drawing>
          <wp:anchor distT="0" distB="0" distL="114300" distR="114300" simplePos="0" relativeHeight="251661312" behindDoc="1" locked="0" layoutInCell="1" allowOverlap="1">
            <wp:simplePos x="0" y="0"/>
            <wp:positionH relativeFrom="column">
              <wp:posOffset>-193675</wp:posOffset>
            </wp:positionH>
            <wp:positionV relativeFrom="paragraph">
              <wp:posOffset>248285</wp:posOffset>
            </wp:positionV>
            <wp:extent cx="1821815" cy="1381125"/>
            <wp:effectExtent l="38100" t="0" r="26035" b="409575"/>
            <wp:wrapNone/>
            <wp:docPr id="2" name="1 Imagen" descr="arrastre%20tablas%20ic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astre%20tablas%20icod.jpg"/>
                    <pic:cNvPicPr/>
                  </pic:nvPicPr>
                  <pic:blipFill>
                    <a:blip r:embed="rId6" cstate="print"/>
                    <a:stretch>
                      <a:fillRect/>
                    </a:stretch>
                  </pic:blipFill>
                  <pic:spPr>
                    <a:xfrm>
                      <a:off x="0" y="0"/>
                      <a:ext cx="1821815" cy="13811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7" type="#_x0000_t156" style="position:absolute;margin-left:136.35pt;margin-top:15.05pt;width:299.15pt;height:111.2pt;z-index:-251653120;mso-position-horizontal-relative:text;mso-position-vertical:absolute;mso-position-vertical-relative:text" wrapcoords="4277 0 2382 146 1516 1314 1678 4670 1462 7005 1462 7589 8662 9341 5305 9486 650 10508 325 13573 -54 15762 -54 17368 108 18681 271 18973 13805 21308 16241 22038 16944 22038 18244 22038 18406 22038 20571 21016 21817 19265 21817 18681 21275 16346 21817 16346 21762 14449 12668 14011 19489 11968 19651 11238 19597 10216 19380 9341 19651 7589 19164 7151 14238 6859 10611 4670 10123 4670 10177 3211 8824 2335 6442 2335 4764 0 4277 0" fillcolor="#7030a0" stroked="f">
            <v:fill color2="#d99594 [1941]" focus="100%" type="gradient"/>
            <v:shadow on="t" color="silver" opacity="52429f" offset="3pt,3pt"/>
            <v:textpath style="font-family:&quot;Times New Roman&quot;;v-text-kern:t" trim="t" fitpath="t" xscale="f" string="Diferentes maneras &#10;de celebrar San Andrés:"/>
            <w10:wrap type="tight"/>
          </v:shape>
        </w:pict>
      </w:r>
    </w:p>
    <w:p w:rsidR="007321C7" w:rsidRDefault="007321C7">
      <w:pPr>
        <w:rPr>
          <w:rFonts w:ascii="Lucida Calligraphy" w:hAnsi="Lucida Calligraphy"/>
          <w:b/>
          <w:color w:val="548DD4" w:themeColor="text2" w:themeTint="99"/>
        </w:rPr>
      </w:pPr>
    </w:p>
    <w:p w:rsidR="00FF349F" w:rsidRDefault="00FF349F">
      <w:pPr>
        <w:rPr>
          <w:rFonts w:ascii="Lucida Calligraphy" w:hAnsi="Lucida Calligraphy"/>
          <w:b/>
          <w:color w:val="548DD4" w:themeColor="text2" w:themeTint="99"/>
        </w:rPr>
      </w:pPr>
    </w:p>
    <w:p w:rsidR="00FF349F" w:rsidRDefault="00FF349F">
      <w:pPr>
        <w:rPr>
          <w:rFonts w:ascii="Lucida Calligraphy" w:hAnsi="Lucida Calligraphy"/>
          <w:b/>
          <w:color w:val="548DD4" w:themeColor="text2" w:themeTint="99"/>
        </w:rPr>
      </w:pPr>
    </w:p>
    <w:p w:rsidR="00FF349F" w:rsidRDefault="00FF349F">
      <w:pPr>
        <w:rPr>
          <w:rFonts w:ascii="Lucida Calligraphy" w:hAnsi="Lucida Calligraphy"/>
          <w:b/>
          <w:color w:val="548DD4" w:themeColor="text2" w:themeTint="99"/>
        </w:rPr>
      </w:pPr>
    </w:p>
    <w:p w:rsidR="00FF349F" w:rsidRDefault="00FF349F">
      <w:pPr>
        <w:rPr>
          <w:rFonts w:ascii="Lucida Calligraphy" w:hAnsi="Lucida Calligraphy" w:cs="Arial"/>
          <w:b/>
          <w:color w:val="548DD4" w:themeColor="text2" w:themeTint="99"/>
          <w:sz w:val="16"/>
          <w:szCs w:val="16"/>
          <w:lang w:val="es-ES"/>
        </w:rPr>
      </w:pPr>
      <w:r w:rsidRPr="00FF349F">
        <w:rPr>
          <w:rFonts w:ascii="Lucida Calligraphy" w:hAnsi="Lucida Calligraphy" w:cs="Arial"/>
          <w:b/>
          <w:color w:val="548DD4" w:themeColor="text2" w:themeTint="99"/>
          <w:sz w:val="16"/>
          <w:szCs w:val="16"/>
          <w:lang w:val="es-ES"/>
        </w:rPr>
        <w:t>En la Fiesta de San Andrés, la noche del 29 al 30 de noviembre, "se tapan" los vinos en Canarias. Hecho que marca la culminación de la fermentación de los caldos. A partir de aquí, los cascos de vino con tapas de corcho o trozos de tabaiba envuelta en tela de saco marcan la época de su consumo. Acompañando este hecho, aparecen en las calles de los pueblos del Valle de La Orotava decenas de chiquillos tirando de "los cacharros", latas de conservas enhebradas con un alambre o "verga" -los más "zangalotes" con neveras, bidones y hasta coches viejos-, haciendo ruido por el rozamiento de estos con los adoquines o el asfalto. Esta manifestación tiene algunas variantes, según los pueblos, en función del material utilizado para producir el ruido. Tal es el caso de San Juan de La Rambla, La Guancha o Icod de Los Vinos, donde "los cacharros" son sustituidos por el denominado "carro de San Andrés" o "las tablas" -madera untada con grasa o cera para permitir su deslizamiento- de diferentes tamaños en función del número de personas que montadas sobre ellas se "tiran" por las pendientes calles de adoquín. Menos conocido, pero también presente en zonas como La Corujera en Santa Úrsula, son los "carros de madera con ruedas de rodillos". Podemos decir que estamos ante una fiesta de carácter comunitario donde las familias y amigos -y los chiquillos y las chiquillas- se reúnen en torno a un brasero donde se tuestan las castañas o se guisan con agua, sal y matalahúva que se acompañan con un buen mojo, un pedazo de pescado salado o sardina y batatas del país</w:t>
      </w:r>
      <w:r>
        <w:rPr>
          <w:rFonts w:ascii="Lucida Calligraphy" w:hAnsi="Lucida Calligraphy" w:cs="Arial"/>
          <w:b/>
          <w:color w:val="548DD4" w:themeColor="text2" w:themeTint="99"/>
          <w:sz w:val="16"/>
          <w:szCs w:val="16"/>
          <w:lang w:val="es-ES"/>
        </w:rPr>
        <w:t>.</w:t>
      </w:r>
    </w:p>
    <w:p w:rsidR="00FF349F" w:rsidRDefault="00774131">
      <w:pPr>
        <w:rPr>
          <w:rFonts w:ascii="Lucida Calligraphy" w:hAnsi="Lucida Calligraphy" w:cs="Arial"/>
          <w:b/>
          <w:color w:val="548DD4" w:themeColor="text2" w:themeTint="99"/>
          <w:sz w:val="16"/>
          <w:szCs w:val="16"/>
          <w:lang w:val="es-ES"/>
        </w:rPr>
      </w:pPr>
      <w:r>
        <w:rPr>
          <w:rFonts w:ascii="Lucida Calligraphy" w:hAnsi="Lucida Calligraphy" w:cs="Arial"/>
          <w:b/>
          <w:noProof/>
          <w:color w:val="548DD4" w:themeColor="text2" w:themeTint="99"/>
          <w:sz w:val="16"/>
          <w:szCs w:val="16"/>
          <w:lang w:eastAsia="es-ES_tradnl"/>
        </w:rPr>
        <w:drawing>
          <wp:anchor distT="0" distB="0" distL="114300" distR="114300" simplePos="0" relativeHeight="251664384" behindDoc="0" locked="0" layoutInCell="1" allowOverlap="1">
            <wp:simplePos x="0" y="0"/>
            <wp:positionH relativeFrom="column">
              <wp:posOffset>-528955</wp:posOffset>
            </wp:positionH>
            <wp:positionV relativeFrom="paragraph">
              <wp:posOffset>733425</wp:posOffset>
            </wp:positionV>
            <wp:extent cx="1276985" cy="1610360"/>
            <wp:effectExtent l="19050" t="0" r="0" b="0"/>
            <wp:wrapThrough wrapText="bothSides">
              <wp:wrapPolygon edited="0">
                <wp:start x="-322" y="0"/>
                <wp:lineTo x="-322" y="21464"/>
                <wp:lineTo x="21589" y="21464"/>
                <wp:lineTo x="21589" y="0"/>
                <wp:lineTo x="-322" y="0"/>
              </wp:wrapPolygon>
            </wp:wrapThrough>
            <wp:docPr id="3" name="2 Imagen" descr="an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es.jpg"/>
                    <pic:cNvPicPr/>
                  </pic:nvPicPr>
                  <pic:blipFill>
                    <a:blip r:embed="rId7" cstate="print"/>
                    <a:stretch>
                      <a:fillRect/>
                    </a:stretch>
                  </pic:blipFill>
                  <pic:spPr>
                    <a:xfrm>
                      <a:off x="0" y="0"/>
                      <a:ext cx="1276985" cy="1610360"/>
                    </a:xfrm>
                    <a:prstGeom prst="rect">
                      <a:avLst/>
                    </a:prstGeom>
                  </pic:spPr>
                </pic:pic>
              </a:graphicData>
            </a:graphic>
          </wp:anchor>
        </w:drawing>
      </w:r>
      <w:r>
        <w:rPr>
          <w:rFonts w:ascii="Lucida Calligraphy" w:hAnsi="Lucida Calligraphy" w:cs="Arial"/>
          <w:b/>
          <w:color w:val="548DD4" w:themeColor="text2" w:themeTint="99"/>
          <w:sz w:val="16"/>
          <w:szCs w:val="16"/>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50" type="#_x0000_t136" style="width:425pt;height:49.95pt" fillcolor="#fc9">
            <v:fill r:id="rId8" o:title="Papel seda rosa" type="tile"/>
            <v:shadow color="#868686"/>
            <o:extrusion v:ext="view" backdepth="10pt" color="#630" on="t" viewpoint=",0" viewpointorigin=",0" skewangle="180" brightness="4000f" lightposition="-50000" lightlevel="52000f" lightposition2="50000" lightlevel2="14000f" lightharsh2="t"/>
            <v:textpath style="font-family:&quot;Lucida Handwriting&quot;;font-size:32pt;v-text-kern:t" trim="t" fitpath="t" string="Una versión de porque &#10;el día de San Andrés."/>
          </v:shape>
        </w:pict>
      </w:r>
    </w:p>
    <w:p w:rsidR="00774131" w:rsidRPr="004C6AEB" w:rsidRDefault="00774131">
      <w:pPr>
        <w:rPr>
          <w:rFonts w:ascii="Lucida Calligraphy" w:hAnsi="Lucida Calligraphy" w:cs="Arial"/>
          <w:b/>
          <w:color w:val="548DD4" w:themeColor="text2" w:themeTint="99"/>
          <w:sz w:val="16"/>
          <w:szCs w:val="16"/>
          <w:lang w:val="es-ES"/>
        </w:rPr>
      </w:pPr>
      <w:r w:rsidRPr="004C6AEB">
        <w:rPr>
          <w:rFonts w:ascii="Lucida Calligraphy" w:hAnsi="Lucida Calligraphy" w:cs="Arial"/>
          <w:b/>
          <w:color w:val="548DD4" w:themeColor="text2" w:themeTint="99"/>
          <w:sz w:val="16"/>
          <w:szCs w:val="16"/>
          <w:lang w:val="es-ES"/>
        </w:rPr>
        <w:t xml:space="preserve">Son múltiples y de diferente origen las versiones sobre el inicio de esta festividad. Unas de carácter religioso, como la que sostiene que "San Andrés era cojo, llegó borracho y cargado de cacharros a fines de noviembre y no el día primero como todos los santos. Otros afirman que el santo cogió tal borrachera que se quedó dormido y hubo que despertarlo con el ruido de cacharros que los niños le habían colgado de sus ropas. Algunos curas ven una relación con el martirio del santo, en el que este fue sacrificado y arrastrado. Por último hay quienes afirman que se trata de la institucionalización de una costumbre en las islas, por la cual durante la acción de las plagas de langostas se hacían correr cacharros para ahuyentarlas". Alberto Galván Tudela, en su trabajo sobre las </w:t>
      </w:r>
      <w:r w:rsidRPr="004C6AEB">
        <w:rPr>
          <w:rStyle w:val="nfasis"/>
          <w:rFonts w:ascii="Lucida Calligraphy" w:hAnsi="Lucida Calligraphy" w:cs="Arial"/>
          <w:b/>
          <w:color w:val="548DD4" w:themeColor="text2" w:themeTint="99"/>
          <w:sz w:val="16"/>
          <w:szCs w:val="16"/>
          <w:lang w:val="es-ES"/>
        </w:rPr>
        <w:t>Fiestas Populares en Canarias,</w:t>
      </w:r>
      <w:r w:rsidRPr="004C6AEB">
        <w:rPr>
          <w:rFonts w:ascii="Lucida Calligraphy" w:hAnsi="Lucida Calligraphy" w:cs="Arial"/>
          <w:b/>
          <w:color w:val="548DD4" w:themeColor="text2" w:themeTint="99"/>
          <w:sz w:val="16"/>
          <w:szCs w:val="16"/>
          <w:lang w:val="es-ES"/>
        </w:rPr>
        <w:t xml:space="preserve"> también apunta la posibilidad de una festividad asociada al vino y a los bodegueros, "(...) Una vez hecho el mosto, este se deja fermentar en un tonel y se le deja reposar ocho o diez días. A partir de </w:t>
      </w:r>
      <w:r w:rsidRPr="004C6AEB">
        <w:rPr>
          <w:rFonts w:ascii="Lucida Calligraphy" w:hAnsi="Lucida Calligraphy" w:cs="Arial"/>
          <w:b/>
          <w:color w:val="548DD4" w:themeColor="text2" w:themeTint="99"/>
          <w:sz w:val="16"/>
          <w:szCs w:val="16"/>
          <w:lang w:val="es-ES"/>
        </w:rPr>
        <w:lastRenderedPageBreak/>
        <w:t xml:space="preserve">entonces, el vino se pasa a otro tonel que debe estar limpio. Tal limpieza se realizaba con una lejía especial extraída de algunas plantas y con agua salada. Para conseguir el agua salada, bajaban desde las bodegas a la costa y limpiaban de esta forma los toneles, al menos en los primeros momentos. Debido a la inexistencia de medios de transporte apropiados los hacían rodar por las pendientes, y algunos incluso afirman que utilizaban unas tablas, </w:t>
      </w:r>
      <w:r w:rsidRPr="004C6AEB">
        <w:rPr>
          <w:rStyle w:val="nfasis"/>
          <w:rFonts w:ascii="Lucida Calligraphy" w:hAnsi="Lucida Calligraphy" w:cs="Arial"/>
          <w:b/>
          <w:color w:val="548DD4" w:themeColor="text2" w:themeTint="99"/>
          <w:sz w:val="16"/>
          <w:szCs w:val="16"/>
          <w:lang w:val="es-ES"/>
        </w:rPr>
        <w:t>las corzas</w:t>
      </w:r>
      <w:r w:rsidRPr="004C6AEB">
        <w:rPr>
          <w:rFonts w:ascii="Lucida Calligraphy" w:hAnsi="Lucida Calligraphy" w:cs="Arial"/>
          <w:b/>
          <w:color w:val="548DD4" w:themeColor="text2" w:themeTint="99"/>
          <w:sz w:val="16"/>
          <w:szCs w:val="16"/>
          <w:lang w:val="es-ES"/>
        </w:rPr>
        <w:t xml:space="preserve">, para evitar que se dañara la estructura del tonel". </w:t>
      </w:r>
    </w:p>
    <w:p w:rsidR="00774131" w:rsidRDefault="00774131">
      <w:pPr>
        <w:rPr>
          <w:rFonts w:ascii="Lucida Calligraphy" w:hAnsi="Lucida Calligraphy" w:cs="Arial"/>
          <w:color w:val="548DD4" w:themeColor="text2" w:themeTint="99"/>
          <w:sz w:val="14"/>
          <w:szCs w:val="14"/>
          <w:lang w:val="es-ES"/>
        </w:rPr>
      </w:pPr>
      <w:r>
        <w:rPr>
          <w:rFonts w:ascii="Lucida Calligraphy" w:hAnsi="Lucida Calligraphy" w:cs="Arial"/>
          <w:color w:val="548DD4" w:themeColor="text2" w:themeTint="99"/>
          <w:sz w:val="14"/>
          <w:szCs w:val="14"/>
          <w:lang w:val="es-ES"/>
        </w:rPr>
        <w:pict>
          <v:shape id="_x0000_i1053" type="#_x0000_t136" style="width:442.2pt;height:76.85pt" fillcolor="#e36c0a [2409]" stroked="f">
            <v:fill color2="#b2a1c7 [1943]" rotate="t" angle="-90" focus="100%" type="gradient"/>
            <v:shadow on="t" color="#b2b2b2" opacity="52429f" offset="3pt"/>
            <v:textpath style="font-family:&quot;Times New Roman&quot;;v-text-kern:t" trim="t" fitpath="t" string="Estudio de los elementos&#10; tradicionales de San Andrés"/>
          </v:shape>
        </w:pict>
      </w:r>
    </w:p>
    <w:p w:rsidR="00774131" w:rsidRPr="004C6AEB" w:rsidRDefault="00774131">
      <w:pPr>
        <w:rPr>
          <w:rFonts w:ascii="Lucida Calligraphy" w:hAnsi="Lucida Calligraphy" w:cs="Arial"/>
          <w:b/>
          <w:color w:val="548DD4" w:themeColor="text2" w:themeTint="99"/>
          <w:sz w:val="16"/>
          <w:szCs w:val="16"/>
          <w:lang w:val="es-ES"/>
        </w:rPr>
      </w:pPr>
      <w:r w:rsidRPr="004C6AEB">
        <w:rPr>
          <w:rStyle w:val="nfasis"/>
          <w:rFonts w:ascii="Lucida Calligraphy" w:hAnsi="Lucida Calligraphy" w:cs="Arial"/>
          <w:b/>
          <w:color w:val="548DD4" w:themeColor="text2" w:themeTint="99"/>
          <w:sz w:val="16"/>
          <w:szCs w:val="16"/>
          <w:lang w:val="es-ES"/>
        </w:rPr>
        <w:t>La cultura del castañero</w:t>
      </w:r>
      <w:r w:rsidRPr="004C6AEB">
        <w:rPr>
          <w:rFonts w:ascii="Lucida Calligraphy" w:hAnsi="Lucida Calligraphy" w:cs="Arial"/>
          <w:b/>
          <w:color w:val="548DD4" w:themeColor="text2" w:themeTint="99"/>
          <w:sz w:val="16"/>
          <w:szCs w:val="16"/>
          <w:lang w:val="es-ES"/>
        </w:rPr>
        <w:t xml:space="preserve">: estudiar el árbol desde el punto de vista botánico, zonas de explotación, cuidados del castañero, los usos tradicionales del árbol, importancia a nivel gastronómico... explorar el entorno para conocer los castañeros y su fruto y recoger materiales. </w:t>
      </w:r>
      <w:r w:rsidRPr="004C6AEB">
        <w:rPr>
          <w:rFonts w:ascii="Lucida Calligraphy" w:hAnsi="Lucida Calligraphy" w:cs="Arial"/>
          <w:b/>
          <w:color w:val="548DD4" w:themeColor="text2" w:themeTint="99"/>
          <w:sz w:val="16"/>
          <w:szCs w:val="16"/>
          <w:lang w:val="es-ES"/>
        </w:rPr>
        <w:br/>
      </w:r>
      <w:r w:rsidRPr="004C6AEB">
        <w:rPr>
          <w:rFonts w:ascii="Lucida Calligraphy" w:hAnsi="Lucida Calligraphy" w:cs="Arial"/>
          <w:b/>
          <w:color w:val="548DD4" w:themeColor="text2" w:themeTint="99"/>
          <w:sz w:val="16"/>
          <w:szCs w:val="16"/>
          <w:lang w:val="es-ES"/>
        </w:rPr>
        <w:br/>
      </w:r>
      <w:r w:rsidRPr="004C6AEB">
        <w:rPr>
          <w:rStyle w:val="nfasis"/>
          <w:rFonts w:ascii="Lucida Calligraphy" w:hAnsi="Lucida Calligraphy" w:cs="Arial"/>
          <w:b/>
          <w:color w:val="548DD4" w:themeColor="text2" w:themeTint="99"/>
          <w:sz w:val="16"/>
          <w:szCs w:val="16"/>
          <w:lang w:val="es-ES"/>
        </w:rPr>
        <w:t>Jareado o las salazones de pescado</w:t>
      </w:r>
      <w:r w:rsidRPr="004C6AEB">
        <w:rPr>
          <w:rFonts w:ascii="Lucida Calligraphy" w:hAnsi="Lucida Calligraphy" w:cs="Arial"/>
          <w:b/>
          <w:color w:val="548DD4" w:themeColor="text2" w:themeTint="99"/>
          <w:sz w:val="16"/>
          <w:szCs w:val="16"/>
          <w:lang w:val="es-ES"/>
        </w:rPr>
        <w:t xml:space="preserve">: sistemas de pesca, dónde se realizan las salazones, cómo, quiénes, comercio, papel gastronómico del pescado jarreado... </w:t>
      </w:r>
      <w:r w:rsidRPr="004C6AEB">
        <w:rPr>
          <w:rFonts w:ascii="Lucida Calligraphy" w:hAnsi="Lucida Calligraphy" w:cs="Arial"/>
          <w:b/>
          <w:color w:val="548DD4" w:themeColor="text2" w:themeTint="99"/>
          <w:sz w:val="16"/>
          <w:szCs w:val="16"/>
          <w:lang w:val="es-ES"/>
        </w:rPr>
        <w:br/>
      </w:r>
      <w:r w:rsidRPr="004C6AEB">
        <w:rPr>
          <w:rFonts w:ascii="Lucida Calligraphy" w:hAnsi="Lucida Calligraphy" w:cs="Arial"/>
          <w:b/>
          <w:color w:val="548DD4" w:themeColor="text2" w:themeTint="99"/>
          <w:sz w:val="16"/>
          <w:szCs w:val="16"/>
          <w:lang w:val="es-ES"/>
        </w:rPr>
        <w:br/>
      </w:r>
      <w:r w:rsidRPr="004C6AEB">
        <w:rPr>
          <w:rStyle w:val="nfasis"/>
          <w:rFonts w:ascii="Lucida Calligraphy" w:hAnsi="Lucida Calligraphy" w:cs="Arial"/>
          <w:b/>
          <w:color w:val="548DD4" w:themeColor="text2" w:themeTint="99"/>
          <w:sz w:val="16"/>
          <w:szCs w:val="16"/>
          <w:lang w:val="es-ES"/>
        </w:rPr>
        <w:t>La cultura del vino</w:t>
      </w:r>
      <w:r w:rsidRPr="004C6AEB">
        <w:rPr>
          <w:rFonts w:ascii="Lucida Calligraphy" w:hAnsi="Lucida Calligraphy" w:cs="Arial"/>
          <w:b/>
          <w:color w:val="548DD4" w:themeColor="text2" w:themeTint="99"/>
          <w:sz w:val="16"/>
          <w:szCs w:val="16"/>
          <w:lang w:val="es-ES"/>
        </w:rPr>
        <w:t xml:space="preserve">: cultivo, tipos de cultivo, proceso de elaboración del vino: producción tradicional y nuevas técnicas; almacenamiento: tipos, envasado, comercialización: tradicional y... </w:t>
      </w:r>
      <w:r w:rsidRPr="004C6AEB">
        <w:rPr>
          <w:rFonts w:ascii="Lucida Calligraphy" w:hAnsi="Lucida Calligraphy" w:cs="Arial"/>
          <w:b/>
          <w:color w:val="548DD4" w:themeColor="text2" w:themeTint="99"/>
          <w:sz w:val="16"/>
          <w:szCs w:val="16"/>
          <w:lang w:val="es-ES"/>
        </w:rPr>
        <w:br/>
      </w:r>
      <w:r w:rsidRPr="004C6AEB">
        <w:rPr>
          <w:rFonts w:ascii="Lucida Calligraphy" w:hAnsi="Lucida Calligraphy" w:cs="Arial"/>
          <w:b/>
          <w:color w:val="548DD4" w:themeColor="text2" w:themeTint="99"/>
          <w:sz w:val="16"/>
          <w:szCs w:val="16"/>
          <w:lang w:val="es-ES"/>
        </w:rPr>
        <w:br/>
      </w:r>
      <w:r w:rsidRPr="004C6AEB">
        <w:rPr>
          <w:rStyle w:val="nfasis"/>
          <w:rFonts w:ascii="Lucida Calligraphy" w:hAnsi="Lucida Calligraphy" w:cs="Arial"/>
          <w:b/>
          <w:color w:val="548DD4" w:themeColor="text2" w:themeTint="99"/>
          <w:sz w:val="16"/>
          <w:szCs w:val="16"/>
          <w:lang w:val="es-ES"/>
        </w:rPr>
        <w:t>Las batatas</w:t>
      </w:r>
      <w:r w:rsidRPr="004C6AEB">
        <w:rPr>
          <w:rFonts w:ascii="Lucida Calligraphy" w:hAnsi="Lucida Calligraphy" w:cs="Arial"/>
          <w:b/>
          <w:color w:val="548DD4" w:themeColor="text2" w:themeTint="99"/>
          <w:sz w:val="16"/>
          <w:szCs w:val="16"/>
          <w:lang w:val="es-ES"/>
        </w:rPr>
        <w:t xml:space="preserve">: morfología de la planta, cómo es su cultivo, tipos de batatas, preparación, comercialización... </w:t>
      </w:r>
      <w:r w:rsidRPr="004C6AEB">
        <w:rPr>
          <w:rFonts w:ascii="Lucida Calligraphy" w:hAnsi="Lucida Calligraphy" w:cs="Arial"/>
          <w:b/>
          <w:color w:val="548DD4" w:themeColor="text2" w:themeTint="99"/>
          <w:sz w:val="16"/>
          <w:szCs w:val="16"/>
          <w:lang w:val="es-ES"/>
        </w:rPr>
        <w:br/>
      </w:r>
      <w:r w:rsidRPr="004C6AEB">
        <w:rPr>
          <w:rFonts w:ascii="Lucida Calligraphy" w:hAnsi="Lucida Calligraphy" w:cs="Arial"/>
          <w:b/>
          <w:color w:val="548DD4" w:themeColor="text2" w:themeTint="99"/>
          <w:sz w:val="16"/>
          <w:szCs w:val="16"/>
          <w:lang w:val="es-ES"/>
        </w:rPr>
        <w:br/>
      </w:r>
      <w:r w:rsidRPr="004C6AEB">
        <w:rPr>
          <w:rStyle w:val="nfasis"/>
          <w:rFonts w:ascii="Lucida Calligraphy" w:hAnsi="Lucida Calligraphy" w:cs="Arial"/>
          <w:b/>
          <w:color w:val="548DD4" w:themeColor="text2" w:themeTint="99"/>
          <w:sz w:val="16"/>
          <w:szCs w:val="16"/>
          <w:lang w:val="es-ES"/>
        </w:rPr>
        <w:t>Los mojos</w:t>
      </w:r>
      <w:r w:rsidRPr="004C6AEB">
        <w:rPr>
          <w:rFonts w:ascii="Lucida Calligraphy" w:hAnsi="Lucida Calligraphy" w:cs="Arial"/>
          <w:b/>
          <w:color w:val="548DD4" w:themeColor="text2" w:themeTint="99"/>
          <w:sz w:val="16"/>
          <w:szCs w:val="16"/>
          <w:lang w:val="es-ES"/>
        </w:rPr>
        <w:t>: elaboración, ingredientes, tipos de mojos, usos de los mismos, acompañamiento; tipos de pimientas: realizar semilleros, analizar de donde vienen los ingredientes...</w:t>
      </w:r>
    </w:p>
    <w:p w:rsidR="00774131" w:rsidRPr="00774131" w:rsidRDefault="00774131">
      <w:pPr>
        <w:rPr>
          <w:rFonts w:ascii="Lucida Calligraphy" w:hAnsi="Lucida Calligraphy" w:cs="Arial"/>
          <w:color w:val="548DD4" w:themeColor="text2" w:themeTint="99"/>
          <w:sz w:val="14"/>
          <w:szCs w:val="14"/>
          <w:lang w:val="es-ES"/>
        </w:rPr>
      </w:pPr>
    </w:p>
    <w:sectPr w:rsidR="00774131" w:rsidRPr="00774131" w:rsidSect="002F46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7321C7"/>
    <w:rsid w:val="002F46A3"/>
    <w:rsid w:val="004C6AEB"/>
    <w:rsid w:val="005028EE"/>
    <w:rsid w:val="00701921"/>
    <w:rsid w:val="007321C7"/>
    <w:rsid w:val="00774131"/>
    <w:rsid w:val="00FF349F"/>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30" fillcolor="#99f" stroke="f">
      <v:fill color="#99f" color2="#099" focus="100%" type="gradient"/>
      <v:stroke on="f"/>
      <v:shadow on="t" color="silver" opacity="52429f" offset="3pt,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21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1C7"/>
    <w:rPr>
      <w:rFonts w:ascii="Tahoma" w:hAnsi="Tahoma" w:cs="Tahoma"/>
      <w:sz w:val="16"/>
      <w:szCs w:val="16"/>
    </w:rPr>
  </w:style>
  <w:style w:type="character" w:styleId="nfasis">
    <w:name w:val="Emphasis"/>
    <w:basedOn w:val="Fuentedeprrafopredeter"/>
    <w:uiPriority w:val="20"/>
    <w:qFormat/>
    <w:rsid w:val="0077413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3412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Canarias</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Proyecto Medusa</dc:creator>
  <cp:keywords/>
  <dc:description/>
  <cp:lastModifiedBy>Proyecto Medusa</cp:lastModifiedBy>
  <cp:revision>2</cp:revision>
  <dcterms:created xsi:type="dcterms:W3CDTF">2010-11-25T10:54:00Z</dcterms:created>
  <dcterms:modified xsi:type="dcterms:W3CDTF">2010-11-25T10:54:00Z</dcterms:modified>
</cp:coreProperties>
</file>